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512C3" w:rsidRDefault="00F27BF3" w:rsidP="008E24A6">
      <w:pPr>
        <w:spacing w:line="276" w:lineRule="auto"/>
        <w:jc w:val="center"/>
        <w:rPr>
          <w:rFonts w:ascii="Calibri" w:eastAsia="Calibri" w:hAnsi="Calibri" w:cs="Calibri"/>
          <w:b/>
          <w:bCs/>
          <w:spacing w:val="15"/>
        </w:rPr>
      </w:pPr>
      <w:bookmarkStart w:id="0" w:name="_GoBack"/>
      <w:bookmarkEnd w:id="0"/>
      <w:r w:rsidRPr="008C786D">
        <w:rPr>
          <w:rFonts w:ascii="Calibri" w:eastAsia="Calibri" w:hAnsi="Calibri" w:cs="Calibri"/>
          <w:b/>
          <w:bCs/>
          <w:spacing w:val="15"/>
        </w:rPr>
        <w:t>UE3 - Sujet zéro</w:t>
      </w:r>
    </w:p>
    <w:p w:rsidR="008E24A6" w:rsidRPr="008E24A6" w:rsidRDefault="008E24A6" w:rsidP="008E24A6">
      <w:pPr>
        <w:spacing w:line="276" w:lineRule="auto"/>
        <w:jc w:val="center"/>
        <w:rPr>
          <w:rFonts w:ascii="Calibri" w:eastAsia="Calibri" w:hAnsi="Calibri" w:cs="Calibri"/>
          <w:b/>
          <w:bCs/>
          <w:spacing w:val="15"/>
        </w:rPr>
      </w:pPr>
    </w:p>
    <w:tbl>
      <w:tblPr>
        <w:tblW w:w="9923" w:type="dxa"/>
        <w:tblInd w:w="-17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94"/>
        <w:gridCol w:w="1369"/>
        <w:gridCol w:w="1572"/>
        <w:gridCol w:w="2106"/>
        <w:gridCol w:w="2182"/>
      </w:tblGrid>
      <w:tr w:rsidR="001512C3" w:rsidTr="005D7E33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Pr="008C786D" w:rsidRDefault="00F27BF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8C786D">
              <w:rPr>
                <w:rFonts w:ascii="Calibri" w:eastAsia="Calibri" w:hAnsi="Calibri" w:cs="Calibri"/>
              </w:rPr>
              <w:t>Questions et compétences évaluées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F27BF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Niveau 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F27BF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Niveau 2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F27BF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Niveau 3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F27BF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Niveau 4</w:t>
            </w:r>
          </w:p>
        </w:tc>
      </w:tr>
      <w:tr w:rsidR="00100F8C" w:rsidTr="005D7E33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446C3" w:rsidRPr="007446C3" w:rsidRDefault="007446C3" w:rsidP="007446C3">
            <w:pPr>
              <w:pStyle w:val="Sansinterligne"/>
              <w:rPr>
                <w:rFonts w:eastAsia="Calibri"/>
                <w:i/>
                <w:iCs/>
              </w:rPr>
            </w:pPr>
            <w:r w:rsidRPr="007446C3">
              <w:rPr>
                <w:rFonts w:eastAsia="Calibri"/>
                <w:i/>
                <w:iCs/>
              </w:rPr>
              <w:t>Légende </w:t>
            </w:r>
          </w:p>
          <w:p w:rsidR="007446C3" w:rsidRPr="007446C3" w:rsidRDefault="007446C3" w:rsidP="007446C3">
            <w:pPr>
              <w:pStyle w:val="Sansinterligne"/>
              <w:rPr>
                <w:rFonts w:eastAsia="Calibri"/>
                <w:i/>
                <w:iCs/>
              </w:rPr>
            </w:pPr>
            <w:r w:rsidRPr="007446C3">
              <w:rPr>
                <w:rFonts w:eastAsia="Calibri"/>
                <w:i/>
                <w:iCs/>
              </w:rPr>
              <w:t>En italique : les questions</w:t>
            </w:r>
          </w:p>
          <w:p w:rsidR="007446C3" w:rsidRPr="007446C3" w:rsidRDefault="007446C3" w:rsidP="007446C3">
            <w:pPr>
              <w:pStyle w:val="Sansinterligne"/>
              <w:rPr>
                <w:rFonts w:eastAsia="Calibri"/>
                <w:i/>
                <w:iCs/>
              </w:rPr>
            </w:pPr>
            <w:r w:rsidRPr="007446C3">
              <w:rPr>
                <w:rFonts w:eastAsia="Calibri"/>
                <w:i/>
                <w:iCs/>
              </w:rPr>
              <w:t>En gras : les compétences</w:t>
            </w:r>
          </w:p>
          <w:p w:rsidR="00100F8C" w:rsidRPr="007446C3" w:rsidRDefault="00100F8C">
            <w:pPr>
              <w:spacing w:after="0" w:line="240" w:lineRule="auto"/>
              <w:jc w:val="both"/>
              <w:rPr>
                <w:rFonts w:ascii="Calibri" w:eastAsia="Calibri" w:hAnsi="Calibri" w:cs="Calibri"/>
                <w:i/>
                <w:iCs/>
                <w:sz w:val="24"/>
              </w:rPr>
            </w:pPr>
          </w:p>
          <w:p w:rsidR="005D7E33" w:rsidRPr="005D7E33" w:rsidRDefault="005D7E33" w:rsidP="005D7E33">
            <w:pPr>
              <w:rPr>
                <w:rFonts w:ascii="Calibri" w:eastAsia="Calibri" w:hAnsi="Calibri" w:cs="Calibri"/>
                <w:sz w:val="24"/>
              </w:rPr>
            </w:pPr>
          </w:p>
          <w:p w:rsidR="005D7E33" w:rsidRDefault="005D7E33" w:rsidP="005D7E33">
            <w:pPr>
              <w:rPr>
                <w:rFonts w:ascii="Calibri" w:eastAsia="Calibri" w:hAnsi="Calibri" w:cs="Calibri"/>
                <w:i/>
                <w:sz w:val="24"/>
              </w:rPr>
            </w:pPr>
          </w:p>
          <w:p w:rsidR="005D7E33" w:rsidRPr="005D7E33" w:rsidRDefault="005D7E33" w:rsidP="005D7E33">
            <w:pPr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00F8C" w:rsidRDefault="005D7E33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</w:rPr>
            </w:pPr>
            <w:r w:rsidRPr="00100F8C">
              <w:rPr>
                <w:rFonts w:ascii="Calibri" w:eastAsia="Calibri" w:hAnsi="Calibri" w:cs="Calibri"/>
                <w:sz w:val="24"/>
              </w:rPr>
              <w:t>Question</w:t>
            </w:r>
            <w:r w:rsidR="00100F8C" w:rsidRPr="00100F8C">
              <w:rPr>
                <w:rFonts w:ascii="Calibri" w:eastAsia="Calibri" w:hAnsi="Calibri" w:cs="Calibri"/>
                <w:sz w:val="24"/>
              </w:rPr>
              <w:t xml:space="preserve"> non traitée ou contenu non pertinent</w:t>
            </w:r>
            <w:r>
              <w:rPr>
                <w:rFonts w:ascii="Calibri" w:eastAsia="Calibri" w:hAnsi="Calibri" w:cs="Calibri"/>
                <w:sz w:val="24"/>
              </w:rPr>
              <w:t>.</w:t>
            </w:r>
            <w:r w:rsidR="00100F8C" w:rsidRPr="00100F8C">
              <w:rPr>
                <w:rFonts w:ascii="Calibri" w:eastAsia="Calibri" w:hAnsi="Calibri" w:cs="Calibri"/>
                <w:sz w:val="24"/>
              </w:rPr>
              <w:t xml:space="preserve"> 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00F8C" w:rsidRDefault="005D7E33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</w:rPr>
            </w:pPr>
            <w:r w:rsidRPr="00100F8C">
              <w:rPr>
                <w:rFonts w:ascii="Calibri" w:eastAsia="Calibri" w:hAnsi="Calibri" w:cs="Calibri"/>
                <w:sz w:val="24"/>
              </w:rPr>
              <w:t>Des</w:t>
            </w:r>
            <w:r w:rsidR="00100F8C" w:rsidRPr="00100F8C">
              <w:rPr>
                <w:rFonts w:ascii="Calibri" w:eastAsia="Calibri" w:hAnsi="Calibri" w:cs="Calibri"/>
                <w:sz w:val="24"/>
              </w:rPr>
              <w:t xml:space="preserve"> éléments de réponse isolés, des erreurs, des contresens, de la paraphrase.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00F8C" w:rsidRDefault="005D7E33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</w:rPr>
            </w:pPr>
            <w:r w:rsidRPr="00100F8C">
              <w:rPr>
                <w:rFonts w:ascii="Calibri" w:eastAsia="Calibri" w:hAnsi="Calibri" w:cs="Calibri"/>
                <w:sz w:val="24"/>
              </w:rPr>
              <w:t>Des</w:t>
            </w:r>
            <w:r w:rsidR="00100F8C" w:rsidRPr="00100F8C">
              <w:rPr>
                <w:rFonts w:ascii="Calibri" w:eastAsia="Calibri" w:hAnsi="Calibri" w:cs="Calibri"/>
                <w:sz w:val="24"/>
              </w:rPr>
              <w:t xml:space="preserve"> éléments de réponse pertinents mais incomplets soit au niveau des savoirs soit au niveau des applications</w:t>
            </w:r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00F8C" w:rsidRDefault="005D7E33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C</w:t>
            </w:r>
            <w:r w:rsidRPr="005D7E33">
              <w:rPr>
                <w:rFonts w:ascii="Calibri" w:eastAsia="Calibri" w:hAnsi="Calibri" w:cs="Calibri"/>
                <w:sz w:val="24"/>
              </w:rPr>
              <w:t>ompétences attendues mobilisées, mobilisation complète des savoirs associés à la compétence, application pertinente</w:t>
            </w:r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53651D" w:rsidTr="00176EBC">
        <w:trPr>
          <w:trHeight w:val="1"/>
        </w:trPr>
        <w:tc>
          <w:tcPr>
            <w:tcW w:w="99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left w:w="108" w:type="dxa"/>
              <w:right w:w="108" w:type="dxa"/>
            </w:tcMar>
          </w:tcPr>
          <w:p w:rsidR="0053651D" w:rsidRDefault="0053651D" w:rsidP="0053651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 xml:space="preserve">Dossier 1 – La société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Ecoloop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confrontée à différents contentieux</w:t>
            </w:r>
          </w:p>
        </w:tc>
      </w:tr>
      <w:tr w:rsidR="001512C3" w:rsidTr="005D7E33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F27BF3" w:rsidP="00984E35">
            <w:pPr>
              <w:spacing w:after="0" w:line="240" w:lineRule="auto"/>
              <w:jc w:val="both"/>
              <w:rPr>
                <w:rFonts w:ascii="Calibri" w:eastAsia="Calibri" w:hAnsi="Calibri" w:cs="Calibri"/>
                <w:i/>
                <w:sz w:val="24"/>
              </w:rPr>
            </w:pPr>
            <w:r>
              <w:rPr>
                <w:rFonts w:ascii="Calibri" w:eastAsia="Calibri" w:hAnsi="Calibri" w:cs="Calibri"/>
                <w:i/>
                <w:sz w:val="24"/>
              </w:rPr>
              <w:t xml:space="preserve">1. Mode de rupture du contrat envisagé, modalités et conséquences financières.      </w:t>
            </w:r>
          </w:p>
          <w:p w:rsidR="001512C3" w:rsidRDefault="00F27BF3" w:rsidP="00984E35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- Déterminer le mode de rupture adapté à une situation donnée.</w:t>
            </w:r>
          </w:p>
          <w:p w:rsidR="001512C3" w:rsidRDefault="00F27BF3" w:rsidP="00984E35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- Préciser les conséquences financières d’une rupture du contrat de travail dans une situation donnée.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F27BF3" w:rsidP="00984E35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La prise d’acte n’est pas identifiée. L'énoncé ne permet pas de retenir un autre mode de rupture.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F27BF3" w:rsidP="00984E35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La bonne qualification est donnée à la rupture, les issues de la prise d'acte sont énoncées.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F27BF3" w:rsidP="00984E35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L'ensemble des mécanismes est exposé mais le candidat ne les précise pas suffisamment.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F27BF3" w:rsidP="00984E35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Le candidat propose une présentation complète des mécanismes et une application pertinente</w:t>
            </w:r>
            <w:r w:rsidR="006C54FC">
              <w:rPr>
                <w:rFonts w:ascii="Calibri" w:eastAsia="Calibri" w:hAnsi="Calibri" w:cs="Calibri"/>
                <w:sz w:val="24"/>
              </w:rPr>
              <w:t>.</w:t>
            </w:r>
          </w:p>
          <w:p w:rsidR="001512C3" w:rsidRDefault="001512C3" w:rsidP="00984E35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1512C3" w:rsidTr="005D7E33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sz w:val="24"/>
              </w:rPr>
            </w:pPr>
            <w:r>
              <w:rPr>
                <w:rFonts w:ascii="Calibri" w:eastAsia="Calibri" w:hAnsi="Calibri" w:cs="Calibri"/>
                <w:i/>
                <w:sz w:val="24"/>
              </w:rPr>
              <w:t>2.</w:t>
            </w:r>
            <w:r>
              <w:rPr>
                <w:rFonts w:ascii="Calibri" w:eastAsia="Calibri" w:hAnsi="Calibri" w:cs="Calibri"/>
                <w:i/>
                <w:sz w:val="24"/>
              </w:rPr>
              <w:tab/>
              <w:t xml:space="preserve">Caractérisez l’infraction mise en évidence par Pierre Dumay, identifiez les personnes passibles de poursuites et la juridiction compétente.                     </w:t>
            </w:r>
            <w:r w:rsidR="00031DCF">
              <w:rPr>
                <w:rFonts w:ascii="Calibri" w:eastAsia="Calibri" w:hAnsi="Calibri" w:cs="Calibri"/>
                <w:i/>
                <w:sz w:val="24"/>
              </w:rPr>
              <w:t xml:space="preserve">- </w:t>
            </w:r>
            <w:r>
              <w:rPr>
                <w:rFonts w:ascii="Calibri" w:eastAsia="Calibri" w:hAnsi="Calibri" w:cs="Calibri"/>
                <w:b/>
                <w:sz w:val="24"/>
              </w:rPr>
              <w:t>Déterminer la juridiction compétente à l’occasion d’un litige du travail.</w:t>
            </w:r>
          </w:p>
          <w:p w:rsidR="001512C3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- Caractériser l’infraction de travail dissimulé et ses conséquences.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Le délit de travail dissimulé n’est pas identifié.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Le délit est identifié. Au moins une personne passible de poursuite</w:t>
            </w:r>
            <w:r w:rsidR="008C786D">
              <w:rPr>
                <w:rFonts w:ascii="Calibri" w:eastAsia="Calibri" w:hAnsi="Calibri" w:cs="Calibri"/>
                <w:sz w:val="24"/>
              </w:rPr>
              <w:t>s</w:t>
            </w:r>
            <w:r>
              <w:rPr>
                <w:rFonts w:ascii="Calibri" w:eastAsia="Calibri" w:hAnsi="Calibri" w:cs="Calibri"/>
                <w:sz w:val="24"/>
              </w:rPr>
              <w:t xml:space="preserve"> est identifiée.</w:t>
            </w:r>
          </w:p>
          <w:p w:rsidR="001512C3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Il est indiqué que la juridiction compétente est une juridiction pénale.</w:t>
            </w:r>
          </w:p>
          <w:p w:rsidR="001512C3" w:rsidRDefault="001512C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Le délit est défini en distinguant dissimulation partielle et totale en citant un exemple.</w:t>
            </w:r>
          </w:p>
          <w:p w:rsidR="001512C3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Toutes les personnes passibles de poursuites sont identifiées.</w:t>
            </w:r>
          </w:p>
          <w:p w:rsidR="001512C3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La juridiction est identifiée matériellement.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L’infraction est caractérisée (trois éléments). </w:t>
            </w:r>
          </w:p>
          <w:p w:rsidR="001512C3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L’employeur est identifié comme une personne morale en l’espèce.</w:t>
            </w:r>
          </w:p>
          <w:p w:rsidR="001512C3" w:rsidRDefault="001512C3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</w:rPr>
            </w:pPr>
          </w:p>
          <w:p w:rsidR="001512C3" w:rsidRDefault="001512C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1512C3" w:rsidTr="005D7E33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F27BF3">
            <w:pPr>
              <w:spacing w:after="200" w:line="276" w:lineRule="auto"/>
              <w:jc w:val="both"/>
              <w:rPr>
                <w:rFonts w:ascii="Calibri" w:eastAsia="Calibri" w:hAnsi="Calibri" w:cs="Calibri"/>
                <w:i/>
                <w:sz w:val="24"/>
              </w:rPr>
            </w:pPr>
            <w:r>
              <w:rPr>
                <w:rFonts w:ascii="Calibri" w:eastAsia="Calibri" w:hAnsi="Calibri" w:cs="Calibri"/>
                <w:i/>
                <w:sz w:val="24"/>
              </w:rPr>
              <w:t xml:space="preserve">3. Schéma de la procédure prud’homale ordinaire : étapes, </w:t>
            </w:r>
            <w:r>
              <w:rPr>
                <w:rFonts w:ascii="Calibri" w:eastAsia="Calibri" w:hAnsi="Calibri" w:cs="Calibri"/>
                <w:i/>
                <w:sz w:val="24"/>
              </w:rPr>
              <w:lastRenderedPageBreak/>
              <w:t>instances impliquées, issues, voies de recours</w:t>
            </w:r>
            <w:r w:rsidR="00912EB5">
              <w:rPr>
                <w:rFonts w:ascii="Calibri" w:eastAsia="Calibri" w:hAnsi="Calibri" w:cs="Calibri"/>
                <w:i/>
                <w:sz w:val="24"/>
              </w:rPr>
              <w:t>.</w:t>
            </w:r>
            <w:r>
              <w:rPr>
                <w:rFonts w:ascii="Calibri" w:eastAsia="Calibri" w:hAnsi="Calibri" w:cs="Calibri"/>
                <w:i/>
                <w:sz w:val="24"/>
              </w:rPr>
              <w:t xml:space="preserve"> </w:t>
            </w:r>
          </w:p>
          <w:p w:rsidR="001512C3" w:rsidRPr="00C42DB1" w:rsidRDefault="00F27BF3">
            <w:pPr>
              <w:spacing w:after="200" w:line="276" w:lineRule="auto"/>
              <w:jc w:val="both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C42DB1">
              <w:rPr>
                <w:rFonts w:ascii="Calibri" w:eastAsia="Calibri" w:hAnsi="Calibri" w:cs="Calibri"/>
                <w:b/>
                <w:sz w:val="24"/>
                <w:szCs w:val="24"/>
              </w:rPr>
              <w:t>- Schématiser la procédure prud’homale.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lastRenderedPageBreak/>
              <w:t xml:space="preserve">Question non traitée ou réponse </w:t>
            </w:r>
            <w:r>
              <w:rPr>
                <w:rFonts w:ascii="Calibri" w:eastAsia="Calibri" w:hAnsi="Calibri" w:cs="Calibri"/>
                <w:sz w:val="24"/>
              </w:rPr>
              <w:lastRenderedPageBreak/>
              <w:t>rédigée.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lastRenderedPageBreak/>
              <w:t xml:space="preserve">Les principales étapes sont </w:t>
            </w:r>
            <w:r>
              <w:rPr>
                <w:rFonts w:ascii="Calibri" w:eastAsia="Calibri" w:hAnsi="Calibri" w:cs="Calibri"/>
                <w:sz w:val="24"/>
              </w:rPr>
              <w:lastRenderedPageBreak/>
              <w:t>présentes et ordonnées : conciliation, jugement, appel, cassation.</w:t>
            </w:r>
          </w:p>
          <w:p w:rsidR="001512C3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Schéma très incomplet ou peu soigné.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lastRenderedPageBreak/>
              <w:t xml:space="preserve">Le schéma intègre les instances compétentes (BCO, </w:t>
            </w:r>
            <w:r>
              <w:rPr>
                <w:rFonts w:ascii="Calibri" w:eastAsia="Calibri" w:hAnsi="Calibri" w:cs="Calibri"/>
                <w:sz w:val="24"/>
              </w:rPr>
              <w:lastRenderedPageBreak/>
              <w:t xml:space="preserve">BJ), la procédure de départage. </w:t>
            </w:r>
          </w:p>
          <w:p w:rsidR="001512C3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Le schéma est globalement cohérent.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lastRenderedPageBreak/>
              <w:t xml:space="preserve">Le schéma intègre les 3 formations du BJ et le taux de </w:t>
            </w:r>
            <w:r>
              <w:rPr>
                <w:rFonts w:ascii="Calibri" w:eastAsia="Calibri" w:hAnsi="Calibri" w:cs="Calibri"/>
                <w:sz w:val="24"/>
              </w:rPr>
              <w:lastRenderedPageBreak/>
              <w:t>compétence du CPH. Le schéma est cohérent et lisible.</w:t>
            </w:r>
          </w:p>
        </w:tc>
      </w:tr>
    </w:tbl>
    <w:p w:rsidR="001512C3" w:rsidRDefault="001512C3">
      <w:pPr>
        <w:spacing w:after="200" w:line="276" w:lineRule="auto"/>
        <w:rPr>
          <w:rFonts w:ascii="Calibri" w:eastAsia="Calibri" w:hAnsi="Calibri" w:cs="Calibri"/>
        </w:rPr>
      </w:pPr>
    </w:p>
    <w:p w:rsidR="00F9037D" w:rsidRPr="005D7E33" w:rsidRDefault="00F27BF3" w:rsidP="00176EBC">
      <w:pPr>
        <w:shd w:val="clear" w:color="auto" w:fill="D0CECE" w:themeFill="background2" w:themeFillShade="E6"/>
        <w:tabs>
          <w:tab w:val="left" w:pos="3015"/>
        </w:tabs>
        <w:spacing w:after="200" w:line="276" w:lineRule="auto"/>
        <w:jc w:val="center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 xml:space="preserve">Dossier 2 – La représentation du personnel au sein de la société </w:t>
      </w:r>
      <w:proofErr w:type="spellStart"/>
      <w:r>
        <w:rPr>
          <w:rFonts w:ascii="Calibri" w:eastAsia="Calibri" w:hAnsi="Calibri" w:cs="Calibri"/>
          <w:b/>
          <w:sz w:val="24"/>
        </w:rPr>
        <w:t>Ecoloop</w:t>
      </w:r>
      <w:proofErr w:type="spellEnd"/>
    </w:p>
    <w:tbl>
      <w:tblPr>
        <w:tblW w:w="9923" w:type="dxa"/>
        <w:tblInd w:w="-17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7"/>
        <w:gridCol w:w="1802"/>
        <w:gridCol w:w="1516"/>
        <w:gridCol w:w="1348"/>
        <w:gridCol w:w="1683"/>
        <w:gridCol w:w="1867"/>
      </w:tblGrid>
      <w:tr w:rsidR="001512C3" w:rsidTr="0053651D">
        <w:trPr>
          <w:trHeight w:val="1"/>
        </w:trPr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952E0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Compétence commune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952E0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Questions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F27BF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Niveau 1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F27BF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Niveau 2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F27BF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Niveau 3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F27BF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Niveau 4</w:t>
            </w:r>
          </w:p>
        </w:tc>
      </w:tr>
      <w:tr w:rsidR="001512C3" w:rsidTr="0053651D">
        <w:trPr>
          <w:trHeight w:val="1"/>
        </w:trPr>
        <w:tc>
          <w:tcPr>
            <w:tcW w:w="1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84E35" w:rsidRDefault="00984E35" w:rsidP="00984E35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sz w:val="24"/>
              </w:rPr>
            </w:pPr>
          </w:p>
          <w:p w:rsidR="00984E35" w:rsidRDefault="00984E35" w:rsidP="00984E35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sz w:val="24"/>
              </w:rPr>
            </w:pPr>
          </w:p>
          <w:p w:rsidR="00984E35" w:rsidRDefault="00984E35" w:rsidP="00984E35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sz w:val="24"/>
              </w:rPr>
            </w:pPr>
          </w:p>
          <w:p w:rsidR="00984E35" w:rsidRDefault="00984E35" w:rsidP="00984E35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sz w:val="24"/>
              </w:rPr>
            </w:pPr>
          </w:p>
          <w:p w:rsidR="00984E35" w:rsidRDefault="00984E35" w:rsidP="00984E35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sz w:val="24"/>
              </w:rPr>
            </w:pPr>
          </w:p>
          <w:p w:rsidR="00984E35" w:rsidRDefault="00984E35" w:rsidP="00984E35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sz w:val="24"/>
              </w:rPr>
            </w:pPr>
          </w:p>
          <w:p w:rsidR="00984E35" w:rsidRDefault="00984E35" w:rsidP="00984E35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sz w:val="24"/>
              </w:rPr>
            </w:pPr>
          </w:p>
          <w:p w:rsidR="001512C3" w:rsidRDefault="00F27BF3" w:rsidP="00984E35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Repérer les situations où l’employeur est tenu de mettre en place une institution représentative du personnel.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Pr="00912EB5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  <w:i/>
                <w:sz w:val="24"/>
              </w:rPr>
            </w:pPr>
            <w:r w:rsidRPr="00912EB5">
              <w:rPr>
                <w:rFonts w:ascii="Calibri" w:eastAsia="Calibri" w:hAnsi="Calibri" w:cs="Calibri"/>
                <w:i/>
                <w:sz w:val="24"/>
              </w:rPr>
              <w:t xml:space="preserve">4. Calcul des effectifs, obligation d’organiser l’élection du CSE.          </w:t>
            </w:r>
          </w:p>
          <w:p w:rsidR="001512C3" w:rsidRPr="00912EB5" w:rsidRDefault="001512C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Le seuil de 11 salariés et les règles de </w:t>
            </w:r>
            <w:r w:rsidRPr="00912EB5">
              <w:rPr>
                <w:rFonts w:ascii="Calibri" w:eastAsia="Calibri" w:hAnsi="Calibri" w:cs="Calibri"/>
                <w:sz w:val="24"/>
              </w:rPr>
              <w:t>décompte</w:t>
            </w:r>
            <w:r>
              <w:rPr>
                <w:rFonts w:ascii="Calibri" w:eastAsia="Calibri" w:hAnsi="Calibri" w:cs="Calibri"/>
                <w:sz w:val="24"/>
              </w:rPr>
              <w:t xml:space="preserve"> sont ignorés.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Le seuil de 11 salariés est connu, mais les règles de décompte ne sont pas connues.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Le seuil est apprécié sur 12 mois </w:t>
            </w:r>
            <w:r w:rsidRPr="00912EB5">
              <w:rPr>
                <w:rFonts w:ascii="Calibri" w:eastAsia="Calibri" w:hAnsi="Calibri" w:cs="Calibri"/>
                <w:sz w:val="24"/>
              </w:rPr>
              <w:t>consécutif</w:t>
            </w:r>
            <w:r w:rsidR="006C54FC" w:rsidRPr="00912EB5">
              <w:rPr>
                <w:rFonts w:ascii="Calibri" w:eastAsia="Calibri" w:hAnsi="Calibri" w:cs="Calibri"/>
                <w:sz w:val="24"/>
              </w:rPr>
              <w:t>s</w:t>
            </w:r>
            <w:r>
              <w:rPr>
                <w:rFonts w:ascii="Calibri" w:eastAsia="Calibri" w:hAnsi="Calibri" w:cs="Calibri"/>
                <w:sz w:val="24"/>
              </w:rPr>
              <w:t xml:space="preserve"> et les règles de décompte sont connues mais pas bien appliquées.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Les règles de </w:t>
            </w:r>
            <w:r w:rsidRPr="00912EB5">
              <w:rPr>
                <w:rFonts w:ascii="Calibri" w:eastAsia="Calibri" w:hAnsi="Calibri" w:cs="Calibri"/>
                <w:sz w:val="24"/>
              </w:rPr>
              <w:t>décompte</w:t>
            </w:r>
            <w:r>
              <w:rPr>
                <w:rFonts w:ascii="Calibri" w:eastAsia="Calibri" w:hAnsi="Calibri" w:cs="Calibri"/>
                <w:sz w:val="24"/>
              </w:rPr>
              <w:t xml:space="preserve"> sont connues et bien appliquées. La période prise en compte est bien cernée.</w:t>
            </w:r>
          </w:p>
          <w:p w:rsidR="00F9037D" w:rsidRDefault="00F9037D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1512C3" w:rsidTr="0053651D">
        <w:trPr>
          <w:trHeight w:val="1"/>
        </w:trPr>
        <w:tc>
          <w:tcPr>
            <w:tcW w:w="1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1512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12C3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color w:val="000000"/>
              </w:rPr>
              <w:t>5A - Dans quelle</w:t>
            </w:r>
            <w:r w:rsidR="00943602">
              <w:rPr>
                <w:rFonts w:ascii="Calibri" w:eastAsia="Calibri" w:hAnsi="Calibri" w:cs="Calibri"/>
                <w:i/>
                <w:color w:val="000000"/>
              </w:rPr>
              <w:t>s</w:t>
            </w:r>
            <w:r>
              <w:rPr>
                <w:rFonts w:ascii="Calibri" w:eastAsia="Calibri" w:hAnsi="Calibri" w:cs="Calibri"/>
                <w:i/>
                <w:color w:val="000000"/>
              </w:rPr>
              <w:t xml:space="preserve"> hypothèse</w:t>
            </w:r>
            <w:r w:rsidR="00943602">
              <w:rPr>
                <w:rFonts w:ascii="Calibri" w:eastAsia="Calibri" w:hAnsi="Calibri" w:cs="Calibri"/>
                <w:i/>
                <w:color w:val="000000"/>
              </w:rPr>
              <w:t>s</w:t>
            </w:r>
            <w:r>
              <w:rPr>
                <w:rFonts w:ascii="Calibri" w:eastAsia="Calibri" w:hAnsi="Calibri" w:cs="Calibri"/>
                <w:i/>
                <w:color w:val="000000"/>
              </w:rPr>
              <w:t xml:space="preserve"> doit-on organiser un second tour ?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Aucune proposition exacte.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Proposition exacte mais vocabulaire imprécis.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Une proposition exacte et précise.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Au moins deux propositions exactes et précises. </w:t>
            </w:r>
          </w:p>
          <w:p w:rsidR="00F9037D" w:rsidRDefault="00F9037D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1512C3" w:rsidTr="0053651D">
        <w:trPr>
          <w:trHeight w:val="1"/>
        </w:trPr>
        <w:tc>
          <w:tcPr>
            <w:tcW w:w="1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1512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12C3" w:rsidRDefault="00F27BF3">
            <w:pPr>
              <w:spacing w:after="200"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color w:val="000000"/>
              </w:rPr>
              <w:t>5B – Quelle(s) différence(s) entre le 1</w:t>
            </w:r>
            <w:r>
              <w:rPr>
                <w:rFonts w:ascii="Calibri" w:eastAsia="Calibri" w:hAnsi="Calibri" w:cs="Calibri"/>
                <w:i/>
                <w:color w:val="000000"/>
                <w:vertAlign w:val="superscript"/>
              </w:rPr>
              <w:t>er</w:t>
            </w:r>
            <w:r>
              <w:rPr>
                <w:rFonts w:ascii="Calibri" w:eastAsia="Calibri" w:hAnsi="Calibri" w:cs="Calibri"/>
                <w:i/>
                <w:color w:val="000000"/>
              </w:rPr>
              <w:t xml:space="preserve"> et le 2</w:t>
            </w:r>
            <w:r>
              <w:rPr>
                <w:rFonts w:ascii="Calibri" w:eastAsia="Calibri" w:hAnsi="Calibri" w:cs="Calibri"/>
                <w:i/>
                <w:color w:val="000000"/>
                <w:vertAlign w:val="superscript"/>
              </w:rPr>
              <w:t>nd</w:t>
            </w:r>
            <w:r>
              <w:rPr>
                <w:rFonts w:ascii="Calibri" w:eastAsia="Calibri" w:hAnsi="Calibri" w:cs="Calibri"/>
                <w:i/>
                <w:color w:val="000000"/>
              </w:rPr>
              <w:t xml:space="preserve"> tour ?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Aucune proposition exacte.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Proposition exacte mais vocabulaire imprécis. </w:t>
            </w:r>
          </w:p>
          <w:p w:rsidR="00F9037D" w:rsidRDefault="00F9037D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Une proposition exacte et précise.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Deux propositions exactes et précises. </w:t>
            </w:r>
          </w:p>
        </w:tc>
      </w:tr>
      <w:tr w:rsidR="001512C3" w:rsidTr="0053651D">
        <w:trPr>
          <w:trHeight w:val="1"/>
        </w:trPr>
        <w:tc>
          <w:tcPr>
            <w:tcW w:w="1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1512C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512C3" w:rsidRDefault="00F27BF3">
            <w:pPr>
              <w:spacing w:after="200"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color w:val="000000"/>
              </w:rPr>
              <w:t>5C – Pourquoi calculer un quotient électoral ?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Paraphrase du document sans connaissance personnelle.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Le candidat justifie sa réponse en énonçant le mode de scrutin.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Le candidat explique le mode de scrutin de manière approximative</w:t>
            </w:r>
            <w:r w:rsidR="000E0163"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Le candidat explique le mode de scrutin de manière claire.</w:t>
            </w:r>
          </w:p>
        </w:tc>
      </w:tr>
    </w:tbl>
    <w:p w:rsidR="001512C3" w:rsidRDefault="00031DCF" w:rsidP="00031DCF">
      <w:pPr>
        <w:tabs>
          <w:tab w:val="left" w:pos="3135"/>
        </w:tabs>
        <w:spacing w:after="200" w:line="276" w:lineRule="auto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ab/>
      </w:r>
    </w:p>
    <w:p w:rsidR="00031DCF" w:rsidRDefault="00031DCF" w:rsidP="00031DCF">
      <w:pPr>
        <w:tabs>
          <w:tab w:val="left" w:pos="3135"/>
        </w:tabs>
        <w:spacing w:after="200" w:line="276" w:lineRule="auto"/>
        <w:rPr>
          <w:rFonts w:ascii="Calibri" w:eastAsia="Calibri" w:hAnsi="Calibri" w:cs="Calibri"/>
          <w:b/>
          <w:sz w:val="24"/>
        </w:rPr>
      </w:pPr>
    </w:p>
    <w:p w:rsidR="00F9037D" w:rsidRDefault="00F9037D" w:rsidP="00031DCF">
      <w:pPr>
        <w:tabs>
          <w:tab w:val="left" w:pos="3135"/>
        </w:tabs>
        <w:spacing w:after="200" w:line="276" w:lineRule="auto"/>
        <w:rPr>
          <w:rFonts w:ascii="Calibri" w:eastAsia="Calibri" w:hAnsi="Calibri" w:cs="Calibri"/>
          <w:b/>
          <w:sz w:val="24"/>
        </w:rPr>
      </w:pPr>
    </w:p>
    <w:p w:rsidR="0053651D" w:rsidRDefault="0053651D" w:rsidP="00031DCF">
      <w:pPr>
        <w:tabs>
          <w:tab w:val="left" w:pos="3135"/>
        </w:tabs>
        <w:spacing w:after="200" w:line="276" w:lineRule="auto"/>
        <w:rPr>
          <w:rFonts w:ascii="Calibri" w:eastAsia="Calibri" w:hAnsi="Calibri" w:cs="Calibri"/>
          <w:b/>
          <w:sz w:val="24"/>
        </w:rPr>
      </w:pPr>
    </w:p>
    <w:p w:rsidR="001512C3" w:rsidRDefault="00F27BF3" w:rsidP="00176EBC">
      <w:pPr>
        <w:shd w:val="clear" w:color="auto" w:fill="D0CECE" w:themeFill="background2" w:themeFillShade="E6"/>
        <w:spacing w:after="200" w:line="276" w:lineRule="auto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sz w:val="24"/>
        </w:rPr>
        <w:lastRenderedPageBreak/>
        <w:t xml:space="preserve">Dossier 3 - Les recrutements envisagés chez </w:t>
      </w:r>
      <w:proofErr w:type="spellStart"/>
      <w:r>
        <w:rPr>
          <w:rFonts w:ascii="Calibri" w:eastAsia="Calibri" w:hAnsi="Calibri" w:cs="Calibri"/>
          <w:b/>
          <w:sz w:val="24"/>
        </w:rPr>
        <w:t>Ecoloop</w:t>
      </w:r>
      <w:proofErr w:type="spellEnd"/>
    </w:p>
    <w:tbl>
      <w:tblPr>
        <w:tblW w:w="9072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2"/>
        <w:gridCol w:w="1552"/>
        <w:gridCol w:w="1608"/>
        <w:gridCol w:w="1642"/>
        <w:gridCol w:w="2368"/>
      </w:tblGrid>
      <w:tr w:rsidR="00C42DB1" w:rsidTr="00F27BF3">
        <w:trPr>
          <w:trHeight w:val="1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2DB1" w:rsidRDefault="00C42DB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2DB1" w:rsidRDefault="00C42DB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Niveau 1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2DB1" w:rsidRDefault="00C42DB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Niveau 2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2DB1" w:rsidRDefault="00C42DB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Niveau 3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2DB1" w:rsidRDefault="00C42DB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Niveau 4</w:t>
            </w:r>
          </w:p>
        </w:tc>
      </w:tr>
      <w:tr w:rsidR="00C42DB1" w:rsidTr="00F27BF3">
        <w:trPr>
          <w:trHeight w:val="1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2DB1" w:rsidRDefault="00C42DB1" w:rsidP="00984E35">
            <w:pPr>
              <w:spacing w:after="200" w:line="276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6.      </w:t>
            </w:r>
            <w:r>
              <w:rPr>
                <w:rFonts w:ascii="Calibri" w:eastAsia="Calibri" w:hAnsi="Calibri" w:cs="Calibri"/>
                <w:i/>
              </w:rPr>
              <w:t>Distinguez offre et promesse unilatérale et précisez les conséquences</w:t>
            </w:r>
            <w:r>
              <w:rPr>
                <w:rFonts w:ascii="Calibri" w:eastAsia="Calibri" w:hAnsi="Calibri" w:cs="Calibri"/>
              </w:rPr>
              <w:t xml:space="preserve">                                             </w:t>
            </w:r>
            <w:r>
              <w:rPr>
                <w:rFonts w:ascii="Calibri" w:eastAsia="Calibri" w:hAnsi="Calibri" w:cs="Calibri"/>
                <w:b/>
              </w:rPr>
              <w:t>- Distinguer pourparlers, offre de contrat de travail et promesse unilatérale de contrat de travail.</w:t>
            </w:r>
          </w:p>
        </w:tc>
        <w:tc>
          <w:tcPr>
            <w:tcW w:w="1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2DB1" w:rsidRDefault="00C42DB1" w:rsidP="00984E35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Paraphrase de l’arrêt.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2DB1" w:rsidRDefault="00C42DB1" w:rsidP="00984E35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Le candidat énonce 1 des 3 éléments attendus.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2DB1" w:rsidRDefault="00C42DB1" w:rsidP="00984E35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Le candidat énonce 2 éléments sur 3.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2DB1" w:rsidRDefault="00C42DB1" w:rsidP="00984E35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Le candidat énonce les 3 éléments attendus.</w:t>
            </w:r>
          </w:p>
        </w:tc>
      </w:tr>
      <w:tr w:rsidR="00C42DB1" w:rsidTr="00F27BF3"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2DB1" w:rsidRDefault="00C42DB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2DB1" w:rsidRDefault="00C42DB1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707E" w:rsidRDefault="004A707E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</w:rPr>
            </w:pPr>
          </w:p>
          <w:p w:rsidR="00C42DB1" w:rsidRDefault="00C42DB1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Eléments attendus : contenu commun, différence d’engagement de l’employeur et impact sur la rétractation.</w:t>
            </w:r>
          </w:p>
          <w:p w:rsidR="00C42DB1" w:rsidRDefault="00C42DB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La notation intègre la précision du vocabulaire juridique et de la réponse.</w:t>
            </w:r>
          </w:p>
        </w:tc>
      </w:tr>
      <w:tr w:rsidR="00C42DB1" w:rsidTr="00F27BF3">
        <w:trPr>
          <w:trHeight w:val="1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2DB1" w:rsidRDefault="00C42DB1" w:rsidP="00984E35">
            <w:pPr>
              <w:spacing w:after="0" w:line="240" w:lineRule="auto"/>
              <w:jc w:val="both"/>
              <w:rPr>
                <w:rFonts w:ascii="Calibri" w:eastAsia="Calibri" w:hAnsi="Calibri" w:cs="Calibri"/>
                <w:i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</w:rPr>
              <w:t xml:space="preserve">7. Rédigez une clause de mobilité géographique </w:t>
            </w:r>
          </w:p>
          <w:p w:rsidR="00C42DB1" w:rsidRDefault="00C42DB1" w:rsidP="00984E35">
            <w:pPr>
              <w:spacing w:after="0" w:line="240" w:lineRule="auto"/>
              <w:jc w:val="both"/>
              <w:rPr>
                <w:rFonts w:ascii="Calibri" w:eastAsia="Calibri" w:hAnsi="Calibri" w:cs="Calibri"/>
                <w:i/>
                <w:color w:val="FF0000"/>
              </w:rPr>
            </w:pPr>
            <w:r>
              <w:rPr>
                <w:rFonts w:ascii="Calibri" w:eastAsia="Calibri" w:hAnsi="Calibri" w:cs="Calibri"/>
                <w:i/>
                <w:color w:val="000000"/>
              </w:rPr>
              <w:t xml:space="preserve">- </w:t>
            </w:r>
            <w:r>
              <w:rPr>
                <w:rFonts w:ascii="Calibri" w:eastAsia="Calibri" w:hAnsi="Calibri" w:cs="Calibri"/>
                <w:b/>
              </w:rPr>
              <w:t xml:space="preserve"> Rédiger une clause du contrat de travail et en apprécier l’intérêt.</w:t>
            </w:r>
          </w:p>
          <w:p w:rsidR="00C42DB1" w:rsidRDefault="00C42DB1" w:rsidP="00984E35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2DB1" w:rsidRDefault="00C42DB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Paraphrase de l’énoncé sans considération juridique.</w:t>
            </w:r>
          </w:p>
          <w:p w:rsidR="00C42DB1" w:rsidRDefault="00C42DB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  <w:p w:rsidR="00C42DB1" w:rsidRDefault="00C42DB1" w:rsidP="0008062B">
            <w:pPr>
              <w:rPr>
                <w:rFonts w:ascii="Calibri" w:eastAsia="Calibri" w:hAnsi="Calibri" w:cs="Calibri"/>
              </w:rPr>
            </w:pPr>
          </w:p>
          <w:p w:rsidR="00C42DB1" w:rsidRDefault="00C42DB1" w:rsidP="0008062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2DB1" w:rsidRDefault="00C42DB1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Exposé des règles de validité de la clause sans rédiger</w:t>
            </w:r>
            <w:r w:rsidR="003E0E4E">
              <w:rPr>
                <w:rFonts w:ascii="Calibri" w:eastAsia="Calibri" w:hAnsi="Calibri" w:cs="Calibri"/>
                <w:sz w:val="24"/>
              </w:rPr>
              <w:t xml:space="preserve"> la clause</w:t>
            </w:r>
          </w:p>
          <w:p w:rsidR="00C42DB1" w:rsidRDefault="000E016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912EB5">
              <w:rPr>
                <w:rFonts w:ascii="Calibri" w:eastAsia="Calibri" w:hAnsi="Calibri" w:cs="Calibri"/>
                <w:sz w:val="24"/>
              </w:rPr>
              <w:t>o</w:t>
            </w:r>
            <w:r w:rsidR="00850DE9" w:rsidRPr="00912EB5">
              <w:rPr>
                <w:rFonts w:ascii="Calibri" w:eastAsia="Calibri" w:hAnsi="Calibri" w:cs="Calibri"/>
                <w:sz w:val="24"/>
              </w:rPr>
              <w:t xml:space="preserve">u </w:t>
            </w:r>
            <w:r w:rsidR="00C42DB1" w:rsidRPr="00912EB5">
              <w:rPr>
                <w:rFonts w:ascii="Calibri" w:eastAsia="Calibri" w:hAnsi="Calibri" w:cs="Calibri"/>
                <w:sz w:val="24"/>
              </w:rPr>
              <w:t>réda</w:t>
            </w:r>
            <w:r w:rsidR="00C42DB1">
              <w:rPr>
                <w:rFonts w:ascii="Calibri" w:eastAsia="Calibri" w:hAnsi="Calibri" w:cs="Calibri"/>
                <w:sz w:val="24"/>
              </w:rPr>
              <w:t>ction de la clause sans expliciter les règles de validité.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2DB1" w:rsidRDefault="00C42DB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2 conditions sont présentées et illustrées.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2DB1" w:rsidRDefault="00C42DB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3 conditions sont présentées et illustrées.</w:t>
            </w:r>
          </w:p>
        </w:tc>
      </w:tr>
      <w:tr w:rsidR="00912EB5" w:rsidRPr="00912EB5" w:rsidTr="00F27BF3"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42DB1" w:rsidRPr="00912EB5" w:rsidRDefault="00C42DB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2DB1" w:rsidRPr="00912EB5" w:rsidRDefault="00C42DB1" w:rsidP="0008062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2DB1" w:rsidRPr="00912EB5" w:rsidRDefault="00C42DB1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912EB5">
              <w:rPr>
                <w:rFonts w:ascii="Calibri" w:eastAsia="Calibri" w:hAnsi="Calibri" w:cs="Calibri"/>
                <w:sz w:val="24"/>
              </w:rPr>
              <w:t xml:space="preserve">Eléments </w:t>
            </w:r>
            <w:r w:rsidR="004A707E" w:rsidRPr="00912EB5">
              <w:rPr>
                <w:rFonts w:ascii="Calibri" w:eastAsia="Calibri" w:hAnsi="Calibri" w:cs="Calibri"/>
                <w:sz w:val="24"/>
              </w:rPr>
              <w:t>attendus</w:t>
            </w:r>
            <w:r w:rsidRPr="00912EB5">
              <w:rPr>
                <w:rFonts w:ascii="Calibri" w:eastAsia="Calibri" w:hAnsi="Calibri" w:cs="Calibri"/>
                <w:sz w:val="24"/>
              </w:rPr>
              <w:t xml:space="preserve"> : définition précise de la zone géographique d'application, clause proportionnée au but recherché compte tenu de l'emploi occupé (notion d’intérêt légitime de l’entreprise et déplacement inhérent aux fonctions)</w:t>
            </w:r>
            <w:r w:rsidR="00912EB5">
              <w:rPr>
                <w:rFonts w:ascii="Calibri" w:eastAsia="Calibri" w:hAnsi="Calibri" w:cs="Calibri"/>
                <w:sz w:val="24"/>
              </w:rPr>
              <w:t>.</w:t>
            </w:r>
          </w:p>
        </w:tc>
      </w:tr>
    </w:tbl>
    <w:p w:rsidR="00F9037D" w:rsidRDefault="00F9037D">
      <w:pPr>
        <w:spacing w:after="200" w:line="276" w:lineRule="auto"/>
        <w:rPr>
          <w:rFonts w:ascii="Calibri" w:eastAsia="Calibri" w:hAnsi="Calibri" w:cs="Calibri"/>
        </w:rPr>
      </w:pPr>
    </w:p>
    <w:p w:rsidR="00031DCF" w:rsidRDefault="00F9037D" w:rsidP="00176EBC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br w:type="page"/>
      </w:r>
    </w:p>
    <w:p w:rsidR="001512C3" w:rsidRDefault="00F27BF3" w:rsidP="00176EBC">
      <w:pPr>
        <w:shd w:val="clear" w:color="auto" w:fill="D0CECE" w:themeFill="background2" w:themeFillShade="E6"/>
        <w:spacing w:after="200" w:line="276" w:lineRule="auto"/>
        <w:jc w:val="center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lastRenderedPageBreak/>
        <w:t xml:space="preserve">Dossier 4 – La nouvelle maquette des bulletins de salaire chez </w:t>
      </w:r>
      <w:proofErr w:type="spellStart"/>
      <w:r>
        <w:rPr>
          <w:rFonts w:ascii="Calibri" w:eastAsia="Calibri" w:hAnsi="Calibri" w:cs="Calibri"/>
          <w:b/>
          <w:sz w:val="24"/>
        </w:rPr>
        <w:t>Ecoloop</w:t>
      </w:r>
      <w:proofErr w:type="spellEnd"/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77"/>
        <w:gridCol w:w="1302"/>
        <w:gridCol w:w="1572"/>
        <w:gridCol w:w="2106"/>
        <w:gridCol w:w="1779"/>
      </w:tblGrid>
      <w:tr w:rsidR="0092687C" w:rsidRPr="0092687C">
        <w:trPr>
          <w:trHeight w:val="1"/>
          <w:jc w:val="center"/>
        </w:trPr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Pr="0092687C" w:rsidRDefault="00952E0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92687C">
              <w:rPr>
                <w:rFonts w:ascii="Calibri" w:eastAsia="Calibri" w:hAnsi="Calibri" w:cs="Calibri"/>
              </w:rPr>
              <w:t>Questions et compétences évaluées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Pr="0092687C" w:rsidRDefault="00F27BF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92687C">
              <w:rPr>
                <w:rFonts w:ascii="Calibri" w:eastAsia="Calibri" w:hAnsi="Calibri" w:cs="Calibri"/>
                <w:b/>
              </w:rPr>
              <w:t>Niveau 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Pr="0092687C" w:rsidRDefault="00F27BF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92687C">
              <w:rPr>
                <w:rFonts w:ascii="Calibri" w:eastAsia="Calibri" w:hAnsi="Calibri" w:cs="Calibri"/>
                <w:b/>
              </w:rPr>
              <w:t>Niveau 2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Pr="0092687C" w:rsidRDefault="00F27BF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92687C">
              <w:rPr>
                <w:rFonts w:ascii="Calibri" w:eastAsia="Calibri" w:hAnsi="Calibri" w:cs="Calibri"/>
                <w:b/>
              </w:rPr>
              <w:t>Niveau 3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Pr="0092687C" w:rsidRDefault="00F27BF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92687C">
              <w:rPr>
                <w:rFonts w:ascii="Calibri" w:eastAsia="Calibri" w:hAnsi="Calibri" w:cs="Calibri"/>
                <w:b/>
              </w:rPr>
              <w:t>Niveau 4</w:t>
            </w:r>
          </w:p>
        </w:tc>
      </w:tr>
      <w:tr w:rsidR="0092687C" w:rsidRPr="0092687C">
        <w:tblPrEx>
          <w:jc w:val="left"/>
        </w:tblPrEx>
        <w:trPr>
          <w:trHeight w:val="1"/>
        </w:trPr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Pr="0092687C" w:rsidRDefault="00F27BF3">
            <w:pPr>
              <w:spacing w:after="0" w:line="240" w:lineRule="auto"/>
              <w:rPr>
                <w:rFonts w:ascii="Calibri" w:eastAsia="Calibri" w:hAnsi="Calibri" w:cs="Calibri"/>
                <w:i/>
              </w:rPr>
            </w:pPr>
            <w:r w:rsidRPr="0092687C">
              <w:rPr>
                <w:rFonts w:ascii="Calibri" w:eastAsia="Calibri" w:hAnsi="Calibri" w:cs="Calibri"/>
                <w:i/>
              </w:rPr>
              <w:t>8A. Identifiez-la ou les informations dont la mention est interdite.</w:t>
            </w:r>
          </w:p>
          <w:p w:rsidR="001512C3" w:rsidRPr="0092687C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92687C">
              <w:rPr>
                <w:rFonts w:ascii="Calibri" w:eastAsia="Calibri" w:hAnsi="Calibri" w:cs="Calibri"/>
                <w:b/>
                <w:shd w:val="clear" w:color="auto" w:fill="FFFFFF"/>
              </w:rPr>
              <w:t>Analyser un bulletin de salaire au regard des règles de droit étudiées.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Pr="0092687C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92687C">
              <w:rPr>
                <w:rFonts w:ascii="Calibri" w:eastAsia="Calibri" w:hAnsi="Calibri" w:cs="Calibri"/>
              </w:rPr>
              <w:t xml:space="preserve">Aucune des mentions prohibées n'est </w:t>
            </w:r>
            <w:r w:rsidR="002B2FFB" w:rsidRPr="0092687C">
              <w:rPr>
                <w:rFonts w:ascii="Calibri" w:eastAsia="Calibri" w:hAnsi="Calibri" w:cs="Calibri"/>
              </w:rPr>
              <w:t>identifiée</w:t>
            </w:r>
            <w:r w:rsidRPr="0092687C"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Pr="0092687C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92687C">
              <w:rPr>
                <w:rFonts w:ascii="Calibri" w:eastAsia="Calibri" w:hAnsi="Calibri" w:cs="Calibri"/>
              </w:rPr>
              <w:t xml:space="preserve">Une seule mention prohibée </w:t>
            </w:r>
            <w:r w:rsidR="002B2FFB" w:rsidRPr="0092687C">
              <w:rPr>
                <w:rFonts w:ascii="Calibri" w:eastAsia="Calibri" w:hAnsi="Calibri" w:cs="Calibri"/>
              </w:rPr>
              <w:t xml:space="preserve">est </w:t>
            </w:r>
            <w:r w:rsidRPr="0092687C">
              <w:rPr>
                <w:rFonts w:ascii="Calibri" w:eastAsia="Calibri" w:hAnsi="Calibri" w:cs="Calibri"/>
              </w:rPr>
              <w:t xml:space="preserve">identifiée. 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Pr="0092687C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92687C">
              <w:rPr>
                <w:rFonts w:ascii="Calibri" w:eastAsia="Calibri" w:hAnsi="Calibri" w:cs="Calibri"/>
              </w:rPr>
              <w:t xml:space="preserve">Deux mentions </w:t>
            </w:r>
            <w:r w:rsidR="002B2FFB" w:rsidRPr="0092687C">
              <w:rPr>
                <w:rFonts w:ascii="Calibri" w:eastAsia="Calibri" w:hAnsi="Calibri" w:cs="Calibri"/>
              </w:rPr>
              <w:t>prohibées sont identifiées</w:t>
            </w:r>
            <w:r w:rsidRPr="0092687C">
              <w:rPr>
                <w:rFonts w:ascii="Calibri" w:eastAsia="Calibri" w:hAnsi="Calibri" w:cs="Calibri"/>
              </w:rPr>
              <w:t xml:space="preserve"> </w:t>
            </w:r>
            <w:r w:rsidR="00952E0F" w:rsidRPr="0092687C">
              <w:rPr>
                <w:rFonts w:ascii="Calibri" w:eastAsia="Calibri" w:hAnsi="Calibri" w:cs="Calibri"/>
              </w:rPr>
              <w:t>sans précision</w:t>
            </w:r>
            <w:r w:rsidRPr="0092687C"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Pr="0092687C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92687C">
              <w:rPr>
                <w:rFonts w:ascii="Calibri" w:eastAsia="Calibri" w:hAnsi="Calibri" w:cs="Calibri"/>
              </w:rPr>
              <w:t xml:space="preserve">Les deux mentions prohibées </w:t>
            </w:r>
            <w:r w:rsidR="002B2FFB" w:rsidRPr="0092687C">
              <w:rPr>
                <w:rFonts w:ascii="Calibri" w:eastAsia="Calibri" w:hAnsi="Calibri" w:cs="Calibri"/>
              </w:rPr>
              <w:t xml:space="preserve">sont </w:t>
            </w:r>
            <w:r w:rsidRPr="0092687C">
              <w:rPr>
                <w:rFonts w:ascii="Calibri" w:eastAsia="Calibri" w:hAnsi="Calibri" w:cs="Calibri"/>
              </w:rPr>
              <w:t>identifiées et explicitées.</w:t>
            </w:r>
          </w:p>
          <w:p w:rsidR="001512C3" w:rsidRPr="0092687C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92687C">
              <w:rPr>
                <w:rFonts w:ascii="Calibri" w:eastAsia="Calibri" w:hAnsi="Calibri" w:cs="Calibri"/>
              </w:rPr>
              <w:t>Application cohérente.</w:t>
            </w:r>
          </w:p>
          <w:p w:rsidR="001512C3" w:rsidRPr="0092687C" w:rsidRDefault="001512C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92687C" w:rsidRPr="0092687C">
        <w:tblPrEx>
          <w:jc w:val="left"/>
        </w:tblPrEx>
        <w:trPr>
          <w:trHeight w:val="1"/>
        </w:trPr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Pr="0092687C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  <w:i/>
              </w:rPr>
            </w:pPr>
            <w:r w:rsidRPr="0092687C">
              <w:rPr>
                <w:rFonts w:ascii="Calibri" w:eastAsia="Calibri" w:hAnsi="Calibri" w:cs="Calibri"/>
                <w:i/>
              </w:rPr>
              <w:t>8B. Vérifiez la légalité du taux envisagé en matière d’heures supplémentaires.</w:t>
            </w:r>
          </w:p>
          <w:p w:rsidR="001512C3" w:rsidRPr="0092687C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  <w:b/>
                <w:shd w:val="clear" w:color="auto" w:fill="FFFFFF"/>
              </w:rPr>
            </w:pPr>
            <w:r w:rsidRPr="0092687C">
              <w:rPr>
                <w:rFonts w:ascii="Calibri" w:eastAsia="Calibri" w:hAnsi="Calibri" w:cs="Calibri"/>
                <w:b/>
                <w:shd w:val="clear" w:color="auto" w:fill="FFFFFF"/>
              </w:rPr>
              <w:t>- Analyser un bulletin de salaire au regard des règles de droit étudiées.</w:t>
            </w:r>
          </w:p>
          <w:p w:rsidR="001512C3" w:rsidRPr="0092687C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92687C">
              <w:rPr>
                <w:rFonts w:ascii="Calibri" w:eastAsia="Calibri" w:hAnsi="Calibri" w:cs="Calibri"/>
                <w:b/>
                <w:shd w:val="clear" w:color="auto" w:fill="FFFFFF"/>
              </w:rPr>
              <w:t>- Préciser le cadre légal et conventionnel du recours aux heures supplémentaires et les obligations de l’employeur en termes de repos et de rémunération, dans une situation donnée.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Pr="0053363E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53363E">
              <w:rPr>
                <w:rFonts w:ascii="Calibri" w:eastAsia="Calibri" w:hAnsi="Calibri" w:cs="Calibri"/>
              </w:rPr>
              <w:t xml:space="preserve">Aucune règle </w:t>
            </w:r>
            <w:r w:rsidR="00DC21F0" w:rsidRPr="0053363E">
              <w:rPr>
                <w:rFonts w:ascii="Calibri" w:eastAsia="Calibri" w:hAnsi="Calibri" w:cs="Calibri"/>
              </w:rPr>
              <w:t xml:space="preserve">énoncée 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Pr="0092687C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92687C">
              <w:rPr>
                <w:rFonts w:ascii="Calibri" w:eastAsia="Calibri" w:hAnsi="Calibri" w:cs="Calibri"/>
              </w:rPr>
              <w:t>Seuls les taux légaux sont énoncés avec des imprécisions ou avec des erreurs</w:t>
            </w:r>
          </w:p>
          <w:p w:rsidR="001512C3" w:rsidRPr="0092687C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92687C">
              <w:rPr>
                <w:rFonts w:ascii="Calibri" w:eastAsia="Calibri" w:hAnsi="Calibri" w:cs="Calibri"/>
              </w:rPr>
              <w:t xml:space="preserve">ou seule la fixation par l'accord collectif est évoquée sans </w:t>
            </w:r>
            <w:r w:rsidR="002B2FFB" w:rsidRPr="0092687C">
              <w:rPr>
                <w:rFonts w:ascii="Calibri" w:eastAsia="Calibri" w:hAnsi="Calibri" w:cs="Calibri"/>
              </w:rPr>
              <w:t>préciser</w:t>
            </w:r>
            <w:r w:rsidRPr="0092687C">
              <w:rPr>
                <w:rFonts w:ascii="Calibri" w:eastAsia="Calibri" w:hAnsi="Calibri" w:cs="Calibri"/>
              </w:rPr>
              <w:t xml:space="preserve"> la limite de 10%</w:t>
            </w:r>
            <w:r w:rsidR="002B2FFB" w:rsidRPr="0092687C">
              <w:rPr>
                <w:rFonts w:ascii="Calibri" w:eastAsia="Calibri" w:hAnsi="Calibri" w:cs="Calibri"/>
              </w:rPr>
              <w:t>.</w:t>
            </w:r>
          </w:p>
          <w:p w:rsidR="001512C3" w:rsidRPr="0092687C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92687C">
              <w:rPr>
                <w:rFonts w:ascii="Calibri" w:eastAsia="Calibri" w:hAnsi="Calibri" w:cs="Calibri"/>
              </w:rPr>
              <w:t>Application à l'espèce sans règles préalables</w:t>
            </w:r>
            <w:r w:rsidR="002B2FFB" w:rsidRPr="0092687C">
              <w:rPr>
                <w:rFonts w:ascii="Calibri" w:eastAsia="Calibri" w:hAnsi="Calibri" w:cs="Calibri"/>
              </w:rPr>
              <w:t>.</w:t>
            </w:r>
          </w:p>
          <w:p w:rsidR="001512C3" w:rsidRPr="0092687C" w:rsidRDefault="001512C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Pr="0092687C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92687C">
              <w:rPr>
                <w:rFonts w:ascii="Calibri" w:eastAsia="Calibri" w:hAnsi="Calibri" w:cs="Calibri"/>
              </w:rPr>
              <w:t>Fixation par l'accord collectif ou à défaut par la loi des taux de majoration avec des imprécisions</w:t>
            </w:r>
            <w:r w:rsidR="002B2FFB" w:rsidRPr="0092687C">
              <w:rPr>
                <w:rFonts w:ascii="Calibri" w:eastAsia="Calibri" w:hAnsi="Calibri" w:cs="Calibri"/>
              </w:rPr>
              <w:t>.</w:t>
            </w:r>
          </w:p>
          <w:p w:rsidR="001512C3" w:rsidRPr="0092687C" w:rsidRDefault="001512C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Pr="0092687C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92687C">
              <w:rPr>
                <w:rFonts w:ascii="Calibri" w:eastAsia="Calibri" w:hAnsi="Calibri" w:cs="Calibri"/>
              </w:rPr>
              <w:t xml:space="preserve">Réponses exhaustives et précises </w:t>
            </w:r>
          </w:p>
          <w:p w:rsidR="001512C3" w:rsidRPr="0092687C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92687C">
              <w:rPr>
                <w:rFonts w:ascii="Calibri" w:eastAsia="Calibri" w:hAnsi="Calibri" w:cs="Calibri"/>
              </w:rPr>
              <w:t>Application cohérente</w:t>
            </w:r>
            <w:r w:rsidR="002B2FFB" w:rsidRPr="0092687C">
              <w:rPr>
                <w:rFonts w:ascii="Calibri" w:eastAsia="Calibri" w:hAnsi="Calibri" w:cs="Calibri"/>
              </w:rPr>
              <w:t>.</w:t>
            </w:r>
          </w:p>
          <w:p w:rsidR="001512C3" w:rsidRPr="0092687C" w:rsidRDefault="001512C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92687C" w:rsidRPr="0092687C">
        <w:tblPrEx>
          <w:jc w:val="left"/>
        </w:tblPrEx>
        <w:trPr>
          <w:trHeight w:val="1"/>
        </w:trPr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Pr="0092687C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  <w:i/>
                <w:shd w:val="clear" w:color="auto" w:fill="FFFFFF"/>
              </w:rPr>
            </w:pPr>
            <w:r w:rsidRPr="0092687C">
              <w:rPr>
                <w:rFonts w:ascii="Calibri" w:eastAsia="Calibri" w:hAnsi="Calibri" w:cs="Calibri"/>
                <w:i/>
              </w:rPr>
              <w:t xml:space="preserve">8C. Précisez les obligations et les options offertes à l’employeur en matière de remise et de conservation du bulletin de paie. </w:t>
            </w:r>
            <w:r w:rsidRPr="0092687C">
              <w:rPr>
                <w:rFonts w:ascii="Calibri" w:eastAsia="Calibri" w:hAnsi="Calibri" w:cs="Calibri"/>
                <w:i/>
                <w:shd w:val="clear" w:color="auto" w:fill="FFFFFF"/>
              </w:rPr>
              <w:t>(La méthodologie du cas pratique n’est pas requise pour cette question.)</w:t>
            </w:r>
          </w:p>
          <w:p w:rsidR="001512C3" w:rsidRPr="0092687C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92687C">
              <w:rPr>
                <w:rFonts w:ascii="Calibri" w:eastAsia="Calibri" w:hAnsi="Calibri" w:cs="Calibri"/>
                <w:b/>
                <w:shd w:val="clear" w:color="auto" w:fill="FFFFFF"/>
              </w:rPr>
              <w:t>- Analyser un bulletin de salaire au regard des règles de droit étudiées.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Pr="0092687C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92687C">
              <w:rPr>
                <w:rFonts w:ascii="Calibri" w:eastAsia="Calibri" w:hAnsi="Calibri" w:cs="Calibri"/>
              </w:rPr>
              <w:t>Obligations et options offertes à l'employeur non identifiées</w:t>
            </w:r>
            <w:r w:rsidR="002B2FFB" w:rsidRPr="0092687C"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Pr="0092687C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92687C">
              <w:rPr>
                <w:rFonts w:ascii="Calibri" w:eastAsia="Calibri" w:hAnsi="Calibri" w:cs="Calibri"/>
              </w:rPr>
              <w:t xml:space="preserve">Seules les obligations légales sont précisées : </w:t>
            </w:r>
          </w:p>
          <w:p w:rsidR="001512C3" w:rsidRPr="0092687C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92687C">
              <w:rPr>
                <w:rFonts w:ascii="Calibri" w:eastAsia="Calibri" w:hAnsi="Calibri" w:cs="Calibri"/>
              </w:rPr>
              <w:t>- remise du bulletin paie : obligation de remettre le bulletin de paie lors versement du salaire</w:t>
            </w:r>
          </w:p>
          <w:p w:rsidR="001512C3" w:rsidRPr="0092687C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92687C">
              <w:rPr>
                <w:rFonts w:ascii="Calibri" w:eastAsia="Calibri" w:hAnsi="Calibri" w:cs="Calibri"/>
              </w:rPr>
              <w:t>-</w:t>
            </w:r>
            <w:r w:rsidR="00D330B3" w:rsidRPr="0092687C">
              <w:rPr>
                <w:rFonts w:ascii="Calibri" w:eastAsia="Calibri" w:hAnsi="Calibri" w:cs="Calibri"/>
              </w:rPr>
              <w:t xml:space="preserve"> </w:t>
            </w:r>
            <w:r w:rsidRPr="0092687C">
              <w:rPr>
                <w:rFonts w:ascii="Calibri" w:eastAsia="Calibri" w:hAnsi="Calibri" w:cs="Calibri"/>
              </w:rPr>
              <w:t>conservation : obligation de conserver un double sans autre précision</w:t>
            </w:r>
            <w:r w:rsidR="002B2FFB" w:rsidRPr="0092687C"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Pr="0092687C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92687C">
              <w:rPr>
                <w:rFonts w:ascii="Calibri" w:eastAsia="Calibri" w:hAnsi="Calibri" w:cs="Calibri"/>
              </w:rPr>
              <w:t>En plus des obligations légales, le candidat précise les options :</w:t>
            </w:r>
          </w:p>
          <w:p w:rsidR="001512C3" w:rsidRPr="0092687C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92687C">
              <w:rPr>
                <w:rFonts w:ascii="Calibri" w:eastAsia="Calibri" w:hAnsi="Calibri" w:cs="Calibri"/>
              </w:rPr>
              <w:t>-</w:t>
            </w:r>
            <w:r w:rsidR="002B2FFB" w:rsidRPr="0092687C">
              <w:rPr>
                <w:rFonts w:ascii="Calibri" w:eastAsia="Calibri" w:hAnsi="Calibri" w:cs="Calibri"/>
              </w:rPr>
              <w:t xml:space="preserve"> </w:t>
            </w:r>
            <w:r w:rsidRPr="0092687C">
              <w:rPr>
                <w:rFonts w:ascii="Calibri" w:eastAsia="Calibri" w:hAnsi="Calibri" w:cs="Calibri"/>
              </w:rPr>
              <w:t xml:space="preserve">remise du bulletin de paie : format papier </w:t>
            </w:r>
            <w:r w:rsidR="002B2FFB" w:rsidRPr="0092687C">
              <w:rPr>
                <w:rFonts w:ascii="Calibri" w:eastAsia="Calibri" w:hAnsi="Calibri" w:cs="Calibri"/>
              </w:rPr>
              <w:t>ou électronique</w:t>
            </w:r>
            <w:r w:rsidRPr="0092687C">
              <w:rPr>
                <w:rFonts w:ascii="Calibri" w:eastAsia="Calibri" w:hAnsi="Calibri" w:cs="Calibri"/>
              </w:rPr>
              <w:t xml:space="preserve"> sauf opposition expresse du salarié</w:t>
            </w:r>
          </w:p>
          <w:p w:rsidR="001512C3" w:rsidRPr="0092687C" w:rsidRDefault="00F27BF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92687C">
              <w:rPr>
                <w:rFonts w:ascii="Calibri" w:eastAsia="Calibri" w:hAnsi="Calibri" w:cs="Calibri"/>
              </w:rPr>
              <w:t>-</w:t>
            </w:r>
            <w:r w:rsidR="002B2FFB" w:rsidRPr="0092687C">
              <w:rPr>
                <w:rFonts w:ascii="Calibri" w:eastAsia="Calibri" w:hAnsi="Calibri" w:cs="Calibri"/>
              </w:rPr>
              <w:t xml:space="preserve"> </w:t>
            </w:r>
            <w:r w:rsidRPr="0092687C">
              <w:rPr>
                <w:rFonts w:ascii="Calibri" w:eastAsia="Calibri" w:hAnsi="Calibri" w:cs="Calibri"/>
              </w:rPr>
              <w:t>conservation : conservation sous forme papier ou sur support informatique</w:t>
            </w:r>
            <w:r w:rsidR="001E7D96"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12C3" w:rsidRPr="0092687C" w:rsidRDefault="002B2FFB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92687C">
              <w:rPr>
                <w:rFonts w:ascii="Calibri" w:eastAsia="Calibri" w:hAnsi="Calibri" w:cs="Calibri"/>
              </w:rPr>
              <w:t xml:space="preserve">- </w:t>
            </w:r>
            <w:r w:rsidR="00F27BF3" w:rsidRPr="0092687C">
              <w:rPr>
                <w:rFonts w:ascii="Calibri" w:eastAsia="Calibri" w:hAnsi="Calibri" w:cs="Calibri"/>
              </w:rPr>
              <w:t>Remise du bulletin paie : précisions complémentaires apportées par le candidat</w:t>
            </w:r>
            <w:r w:rsidRPr="0092687C">
              <w:rPr>
                <w:rFonts w:ascii="Calibri" w:eastAsia="Calibri" w:hAnsi="Calibri" w:cs="Calibri"/>
              </w:rPr>
              <w:t xml:space="preserve"> sur le bulletin de paie électronique</w:t>
            </w:r>
            <w:r w:rsidR="00F27BF3" w:rsidRPr="0092687C">
              <w:rPr>
                <w:rFonts w:ascii="Calibri" w:eastAsia="Calibri" w:hAnsi="Calibri" w:cs="Calibri"/>
              </w:rPr>
              <w:t xml:space="preserve"> (durée de mise à disposition et CPA) </w:t>
            </w:r>
          </w:p>
          <w:p w:rsidR="001512C3" w:rsidRPr="0092687C" w:rsidRDefault="002B2FFB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92687C">
              <w:rPr>
                <w:rFonts w:ascii="Calibri" w:eastAsia="Calibri" w:hAnsi="Calibri" w:cs="Calibri"/>
              </w:rPr>
              <w:t>- conservation :</w:t>
            </w:r>
            <w:r w:rsidR="00F27BF3" w:rsidRPr="0092687C">
              <w:rPr>
                <w:rFonts w:ascii="Calibri" w:eastAsia="Calibri" w:hAnsi="Calibri" w:cs="Calibri"/>
              </w:rPr>
              <w:t xml:space="preserve"> 5 ans</w:t>
            </w:r>
            <w:r w:rsidR="001E7D96">
              <w:rPr>
                <w:rFonts w:ascii="Calibri" w:eastAsia="Calibri" w:hAnsi="Calibri" w:cs="Calibri"/>
              </w:rPr>
              <w:t>.</w:t>
            </w:r>
          </w:p>
          <w:p w:rsidR="001512C3" w:rsidRPr="0092687C" w:rsidRDefault="001512C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FD6CC2" w:rsidRDefault="00FD6CC2" w:rsidP="004744F2">
      <w:pPr>
        <w:spacing w:after="200" w:line="276" w:lineRule="auto"/>
        <w:rPr>
          <w:rFonts w:ascii="Calibri" w:eastAsia="Calibri" w:hAnsi="Calibri" w:cs="Calibri"/>
        </w:rPr>
      </w:pPr>
    </w:p>
    <w:p w:rsidR="00FD6CC2" w:rsidRDefault="00FD6CC2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br w:type="page"/>
      </w:r>
    </w:p>
    <w:p w:rsidR="001512C3" w:rsidRPr="0092687C" w:rsidRDefault="001512C3" w:rsidP="004744F2">
      <w:pPr>
        <w:spacing w:after="200" w:line="276" w:lineRule="auto"/>
        <w:rPr>
          <w:rFonts w:ascii="Calibri" w:eastAsia="Calibri" w:hAnsi="Calibri" w:cs="Calibri"/>
        </w:rPr>
      </w:pPr>
    </w:p>
    <w:sectPr w:rsidR="001512C3" w:rsidRPr="0092687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31BCB" w:rsidRDefault="00431BCB" w:rsidP="00F444D2">
      <w:pPr>
        <w:spacing w:after="0" w:line="240" w:lineRule="auto"/>
      </w:pPr>
      <w:r>
        <w:separator/>
      </w:r>
    </w:p>
  </w:endnote>
  <w:endnote w:type="continuationSeparator" w:id="0">
    <w:p w:rsidR="00431BCB" w:rsidRDefault="00431BCB" w:rsidP="00F44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87261153"/>
      <w:docPartObj>
        <w:docPartGallery w:val="Page Numbers (Bottom of Page)"/>
        <w:docPartUnique/>
      </w:docPartObj>
    </w:sdtPr>
    <w:sdtEndPr/>
    <w:sdtContent>
      <w:p w:rsidR="00F444D2" w:rsidRDefault="00F444D2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6CC2">
          <w:rPr>
            <w:noProof/>
          </w:rPr>
          <w:t>5</w:t>
        </w:r>
        <w:r>
          <w:fldChar w:fldCharType="end"/>
        </w:r>
      </w:p>
    </w:sdtContent>
  </w:sdt>
  <w:p w:rsidR="00F444D2" w:rsidRDefault="00F444D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31BCB" w:rsidRDefault="00431BCB" w:rsidP="00F444D2">
      <w:pPr>
        <w:spacing w:after="0" w:line="240" w:lineRule="auto"/>
      </w:pPr>
      <w:r>
        <w:separator/>
      </w:r>
    </w:p>
  </w:footnote>
  <w:footnote w:type="continuationSeparator" w:id="0">
    <w:p w:rsidR="00431BCB" w:rsidRDefault="00431BCB" w:rsidP="00F444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866596"/>
    <w:multiLevelType w:val="hybridMultilevel"/>
    <w:tmpl w:val="244A8E48"/>
    <w:lvl w:ilvl="0" w:tplc="929AA7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12C3"/>
    <w:rsid w:val="00031DCF"/>
    <w:rsid w:val="0008062B"/>
    <w:rsid w:val="000B0F2F"/>
    <w:rsid w:val="000E0163"/>
    <w:rsid w:val="00100F8C"/>
    <w:rsid w:val="001512C3"/>
    <w:rsid w:val="00176EBC"/>
    <w:rsid w:val="001E7D96"/>
    <w:rsid w:val="00216F1F"/>
    <w:rsid w:val="00266554"/>
    <w:rsid w:val="002B2FFB"/>
    <w:rsid w:val="003C716B"/>
    <w:rsid w:val="003E0E4E"/>
    <w:rsid w:val="00400F4E"/>
    <w:rsid w:val="00410EB1"/>
    <w:rsid w:val="00420905"/>
    <w:rsid w:val="00431BCB"/>
    <w:rsid w:val="004744F2"/>
    <w:rsid w:val="004A707E"/>
    <w:rsid w:val="0053363E"/>
    <w:rsid w:val="0053651D"/>
    <w:rsid w:val="005D7E33"/>
    <w:rsid w:val="005F78BB"/>
    <w:rsid w:val="006B59C1"/>
    <w:rsid w:val="006C54FC"/>
    <w:rsid w:val="007446C3"/>
    <w:rsid w:val="0076293E"/>
    <w:rsid w:val="00850DE9"/>
    <w:rsid w:val="00870164"/>
    <w:rsid w:val="00882DCB"/>
    <w:rsid w:val="008A0DC2"/>
    <w:rsid w:val="008C786D"/>
    <w:rsid w:val="008E24A6"/>
    <w:rsid w:val="00912EB5"/>
    <w:rsid w:val="0092687C"/>
    <w:rsid w:val="00943602"/>
    <w:rsid w:val="00952E0F"/>
    <w:rsid w:val="00984E35"/>
    <w:rsid w:val="00C42DB1"/>
    <w:rsid w:val="00CD5E9C"/>
    <w:rsid w:val="00D330B3"/>
    <w:rsid w:val="00DC21F0"/>
    <w:rsid w:val="00E93140"/>
    <w:rsid w:val="00F27BF3"/>
    <w:rsid w:val="00F444D2"/>
    <w:rsid w:val="00F9037D"/>
    <w:rsid w:val="00FA6689"/>
    <w:rsid w:val="00FD6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444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444D2"/>
  </w:style>
  <w:style w:type="paragraph" w:styleId="Pieddepage">
    <w:name w:val="footer"/>
    <w:basedOn w:val="Normal"/>
    <w:link w:val="PieddepageCar"/>
    <w:uiPriority w:val="99"/>
    <w:unhideWhenUsed/>
    <w:rsid w:val="00F444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444D2"/>
  </w:style>
  <w:style w:type="paragraph" w:styleId="Paragraphedeliste">
    <w:name w:val="List Paragraph"/>
    <w:basedOn w:val="Normal"/>
    <w:uiPriority w:val="34"/>
    <w:qFormat/>
    <w:rsid w:val="007446C3"/>
    <w:pPr>
      <w:ind w:left="720"/>
      <w:contextualSpacing/>
    </w:pPr>
  </w:style>
  <w:style w:type="paragraph" w:styleId="Sansinterligne">
    <w:name w:val="No Spacing"/>
    <w:uiPriority w:val="1"/>
    <w:qFormat/>
    <w:rsid w:val="007446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95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1159</Words>
  <Characters>6377</Characters>
  <Application>Microsoft Office Word</Application>
  <DocSecurity>0</DocSecurity>
  <Lines>53</Lines>
  <Paragraphs>15</Paragraphs>
  <ScaleCrop>false</ScaleCrop>
  <Company/>
  <LinksUpToDate>false</LinksUpToDate>
  <CharactersWithSpaces>7521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2020-02-17T08:06:00Z</dcterms:created>
  <dcterms:modified xsi:type="dcterms:W3CDTF">2020-02-17T08:06:00Z</dcterms:modified>
</cp:coreProperties>
</file>